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92" w:rsidRPr="00363292" w:rsidRDefault="00363292" w:rsidP="00363292">
      <w:pPr>
        <w:jc w:val="center"/>
        <w:rPr>
          <w:rFonts w:asciiTheme="minorHAnsi" w:hAnsiTheme="minorHAnsi" w:cs="Arial"/>
          <w:color w:val="365F91" w:themeColor="accent1" w:themeShade="BF"/>
          <w:sz w:val="36"/>
        </w:rPr>
      </w:pPr>
    </w:p>
    <w:p w:rsidR="001D3225" w:rsidRPr="00363292" w:rsidRDefault="005D09EE" w:rsidP="00363292">
      <w:pPr>
        <w:pStyle w:val="Titolo1"/>
        <w:spacing w:before="0" w:after="0"/>
        <w:jc w:val="center"/>
        <w:rPr>
          <w:rFonts w:asciiTheme="minorHAnsi" w:hAnsiTheme="minorHAnsi" w:cs="Arial"/>
          <w:color w:val="365F91" w:themeColor="accent1" w:themeShade="BF"/>
          <w:sz w:val="24"/>
        </w:rPr>
      </w:pPr>
      <w:r w:rsidRPr="00363292">
        <w:rPr>
          <w:rFonts w:asciiTheme="minorHAnsi" w:hAnsiTheme="minorHAnsi" w:cs="Arial"/>
          <w:color w:val="365F91" w:themeColor="accent1" w:themeShade="BF"/>
          <w:sz w:val="36"/>
        </w:rPr>
        <w:t xml:space="preserve">Alternanza Scuola/Lavoro con le Pro Loco del </w:t>
      </w:r>
      <w:r w:rsidR="001D3225" w:rsidRPr="00363292">
        <w:rPr>
          <w:rFonts w:asciiTheme="minorHAnsi" w:hAnsiTheme="minorHAnsi" w:cs="Arial"/>
          <w:color w:val="365F91" w:themeColor="accent1" w:themeShade="BF"/>
          <w:sz w:val="36"/>
        </w:rPr>
        <w:t>Veneto</w:t>
      </w:r>
    </w:p>
    <w:p w:rsidR="001D3225" w:rsidRPr="00C726F9" w:rsidRDefault="001D3225" w:rsidP="00363292">
      <w:pPr>
        <w:pStyle w:val="Titolo1"/>
        <w:spacing w:before="0" w:after="0"/>
        <w:jc w:val="center"/>
        <w:rPr>
          <w:rFonts w:asciiTheme="minorHAnsi" w:hAnsiTheme="minorHAnsi" w:cs="Arial"/>
          <w:color w:val="FFC000"/>
          <w:sz w:val="24"/>
        </w:rPr>
      </w:pPr>
      <w:r w:rsidRPr="00C726F9">
        <w:rPr>
          <w:rFonts w:asciiTheme="minorHAnsi" w:hAnsiTheme="minorHAnsi" w:cs="Arial"/>
          <w:color w:val="FFC000"/>
          <w:sz w:val="44"/>
        </w:rPr>
        <w:t xml:space="preserve">Firmato </w:t>
      </w:r>
      <w:r w:rsidR="005D09EE" w:rsidRPr="00C726F9">
        <w:rPr>
          <w:rFonts w:asciiTheme="minorHAnsi" w:hAnsiTheme="minorHAnsi" w:cs="Arial"/>
          <w:color w:val="FFC000"/>
          <w:sz w:val="44"/>
        </w:rPr>
        <w:t>stamane il</w:t>
      </w:r>
      <w:r w:rsidRPr="00C726F9">
        <w:rPr>
          <w:rFonts w:asciiTheme="minorHAnsi" w:hAnsiTheme="minorHAnsi" w:cs="Arial"/>
          <w:color w:val="FFC000"/>
          <w:sz w:val="44"/>
        </w:rPr>
        <w:t xml:space="preserve"> protocollo d’intesa </w:t>
      </w:r>
      <w:r w:rsidR="005D09EE" w:rsidRPr="00C726F9">
        <w:rPr>
          <w:rFonts w:asciiTheme="minorHAnsi" w:hAnsiTheme="minorHAnsi" w:cs="Arial"/>
          <w:color w:val="FFC000"/>
          <w:sz w:val="44"/>
        </w:rPr>
        <w:br/>
        <w:t>Unpli</w:t>
      </w:r>
      <w:r w:rsidRPr="00C726F9">
        <w:rPr>
          <w:rFonts w:asciiTheme="minorHAnsi" w:hAnsiTheme="minorHAnsi" w:cs="Arial"/>
          <w:color w:val="FFC000"/>
          <w:sz w:val="44"/>
        </w:rPr>
        <w:t xml:space="preserve"> Veneto e Ufficio Scolastico Regionale</w:t>
      </w:r>
    </w:p>
    <w:p w:rsidR="00363292" w:rsidRDefault="00363292" w:rsidP="001D3225">
      <w:pPr>
        <w:pStyle w:val="NormaleWeb"/>
        <w:spacing w:before="0" w:after="120"/>
        <w:jc w:val="both"/>
        <w:rPr>
          <w:rFonts w:asciiTheme="minorHAnsi" w:hAnsiTheme="minorHAnsi" w:cs="Arial"/>
          <w:i/>
          <w:sz w:val="22"/>
          <w:szCs w:val="22"/>
        </w:rPr>
      </w:pPr>
    </w:p>
    <w:p w:rsidR="00664CA7" w:rsidRPr="00C726F9" w:rsidRDefault="001D3225" w:rsidP="001D3225">
      <w:pPr>
        <w:pStyle w:val="NormaleWeb"/>
        <w:spacing w:before="0" w:after="120"/>
        <w:jc w:val="both"/>
        <w:rPr>
          <w:rFonts w:asciiTheme="minorHAnsi" w:hAnsiTheme="minorHAnsi" w:cs="Arial"/>
          <w:sz w:val="22"/>
          <w:szCs w:val="22"/>
        </w:rPr>
      </w:pPr>
      <w:r w:rsidRPr="00C726F9">
        <w:rPr>
          <w:rFonts w:asciiTheme="minorHAnsi" w:hAnsiTheme="minorHAnsi" w:cs="Arial"/>
          <w:i/>
          <w:sz w:val="22"/>
          <w:szCs w:val="22"/>
        </w:rPr>
        <w:t xml:space="preserve">Venezia, </w:t>
      </w:r>
      <w:r w:rsidR="005D09EE" w:rsidRPr="00C726F9">
        <w:rPr>
          <w:rFonts w:asciiTheme="minorHAnsi" w:hAnsiTheme="minorHAnsi" w:cs="Arial"/>
          <w:i/>
          <w:sz w:val="22"/>
          <w:szCs w:val="22"/>
        </w:rPr>
        <w:t>19 dicembre</w:t>
      </w:r>
      <w:r w:rsidRPr="00C726F9">
        <w:rPr>
          <w:rFonts w:asciiTheme="minorHAnsi" w:hAnsiTheme="minorHAnsi" w:cs="Arial"/>
          <w:i/>
          <w:sz w:val="22"/>
          <w:szCs w:val="22"/>
        </w:rPr>
        <w:t xml:space="preserve"> 2016</w:t>
      </w:r>
      <w:r w:rsidRPr="00C726F9">
        <w:rPr>
          <w:rFonts w:asciiTheme="minorHAnsi" w:hAnsiTheme="minorHAnsi" w:cs="Arial"/>
          <w:sz w:val="22"/>
          <w:szCs w:val="22"/>
        </w:rPr>
        <w:t xml:space="preserve"> – </w:t>
      </w:r>
      <w:r w:rsidR="00774FA0" w:rsidRPr="00C726F9">
        <w:rPr>
          <w:rFonts w:asciiTheme="minorHAnsi" w:hAnsiTheme="minorHAnsi" w:cs="Arial"/>
          <w:sz w:val="22"/>
          <w:szCs w:val="22"/>
        </w:rPr>
        <w:t>Turismo e accoglienza, valorizzazione del patrimonio culturale, marketing territoriale, gestione di eventi: sono questi alcuni degli ambiti operativi in cui potranno essere sviluppate esperienze di alternanza scuola</w:t>
      </w:r>
      <w:r w:rsidR="00363292">
        <w:rPr>
          <w:rFonts w:asciiTheme="minorHAnsi" w:hAnsiTheme="minorHAnsi" w:cs="Arial"/>
          <w:sz w:val="22"/>
          <w:szCs w:val="22"/>
        </w:rPr>
        <w:t>/</w:t>
      </w:r>
      <w:r w:rsidR="00774FA0" w:rsidRPr="00C726F9">
        <w:rPr>
          <w:rFonts w:asciiTheme="minorHAnsi" w:hAnsiTheme="minorHAnsi" w:cs="Arial"/>
          <w:sz w:val="22"/>
          <w:szCs w:val="22"/>
        </w:rPr>
        <w:t xml:space="preserve">lavoro nel Terzo Settore e, in particolare, nell’associazionismo </w:t>
      </w:r>
      <w:r w:rsidR="00664CA7" w:rsidRPr="00C726F9">
        <w:rPr>
          <w:rFonts w:asciiTheme="minorHAnsi" w:hAnsiTheme="minorHAnsi" w:cs="Arial"/>
          <w:sz w:val="22"/>
          <w:szCs w:val="22"/>
        </w:rPr>
        <w:t xml:space="preserve">delle Pro Loco del Veneto. E’ stato sottoscritto stamane a Venezia, il </w:t>
      </w:r>
      <w:r w:rsidRPr="00C726F9">
        <w:rPr>
          <w:rFonts w:asciiTheme="minorHAnsi" w:hAnsiTheme="minorHAnsi" w:cs="Arial"/>
          <w:sz w:val="22"/>
          <w:szCs w:val="22"/>
        </w:rPr>
        <w:t xml:space="preserve">protocollo tra Ufficio Scolastico Regionale </w:t>
      </w:r>
      <w:r w:rsidR="00664CA7" w:rsidRPr="00C726F9">
        <w:rPr>
          <w:rFonts w:asciiTheme="minorHAnsi" w:hAnsiTheme="minorHAnsi" w:cs="Arial"/>
          <w:sz w:val="22"/>
          <w:szCs w:val="22"/>
        </w:rPr>
        <w:t xml:space="preserve">l’Unpli (Unione delle Pro Loco) del Veneto, regione che in ambito </w:t>
      </w:r>
      <w:proofErr w:type="spellStart"/>
      <w:r w:rsidR="00664CA7" w:rsidRPr="00C726F9">
        <w:rPr>
          <w:rFonts w:asciiTheme="minorHAnsi" w:hAnsiTheme="minorHAnsi" w:cs="Arial"/>
          <w:sz w:val="22"/>
          <w:szCs w:val="22"/>
        </w:rPr>
        <w:t>Miur</w:t>
      </w:r>
      <w:proofErr w:type="spellEnd"/>
      <w:r w:rsidR="00664CA7" w:rsidRPr="00C726F9">
        <w:rPr>
          <w:rFonts w:asciiTheme="minorHAnsi" w:hAnsiTheme="minorHAnsi" w:cs="Arial"/>
          <w:sz w:val="22"/>
          <w:szCs w:val="22"/>
        </w:rPr>
        <w:t xml:space="preserve"> sta facendo da apripista nazionale proprio per le esperienze formative anche nell’ambito del volontariato.</w:t>
      </w:r>
    </w:p>
    <w:p w:rsidR="00664CA7" w:rsidRPr="00C726F9" w:rsidRDefault="00664CA7" w:rsidP="001D3225">
      <w:pPr>
        <w:pStyle w:val="NormaleWeb"/>
        <w:spacing w:before="0" w:after="120"/>
        <w:jc w:val="both"/>
        <w:rPr>
          <w:rFonts w:asciiTheme="minorHAnsi" w:hAnsiTheme="minorHAnsi" w:cs="Arial"/>
          <w:sz w:val="22"/>
          <w:szCs w:val="22"/>
        </w:rPr>
      </w:pPr>
      <w:r w:rsidRPr="00C726F9">
        <w:rPr>
          <w:rFonts w:asciiTheme="minorHAnsi" w:hAnsiTheme="minorHAnsi" w:cs="Arial"/>
          <w:sz w:val="22"/>
          <w:szCs w:val="22"/>
        </w:rPr>
        <w:t xml:space="preserve">L’Ufficio Scolastico Regionale ha infatti saputo individuare quale partner per l’anno scolastico 2016/2017 la rete delle </w:t>
      </w:r>
      <w:r w:rsidRPr="00363292">
        <w:rPr>
          <w:rFonts w:asciiTheme="minorHAnsi" w:hAnsiTheme="minorHAnsi" w:cs="Arial"/>
          <w:b/>
          <w:sz w:val="22"/>
          <w:szCs w:val="22"/>
        </w:rPr>
        <w:t>535 Pro Loco del Veneto</w:t>
      </w:r>
      <w:r w:rsidRPr="00C726F9">
        <w:rPr>
          <w:rFonts w:asciiTheme="minorHAnsi" w:hAnsiTheme="minorHAnsi" w:cs="Arial"/>
          <w:sz w:val="22"/>
          <w:szCs w:val="22"/>
        </w:rPr>
        <w:t xml:space="preserve"> che gestisce un terzo degli 60 Uffici IAT regionali (Informazione e Accoglienza Turistica), realizza </w:t>
      </w:r>
      <w:r w:rsidRPr="00363292">
        <w:rPr>
          <w:rFonts w:asciiTheme="minorHAnsi" w:hAnsiTheme="minorHAnsi" w:cs="Arial"/>
          <w:b/>
          <w:sz w:val="22"/>
          <w:szCs w:val="22"/>
        </w:rPr>
        <w:t>oltre 5 mila eventi</w:t>
      </w:r>
      <w:r w:rsidRPr="00C726F9">
        <w:rPr>
          <w:rFonts w:asciiTheme="minorHAnsi" w:hAnsiTheme="minorHAnsi" w:cs="Arial"/>
          <w:sz w:val="22"/>
          <w:szCs w:val="22"/>
        </w:rPr>
        <w:t xml:space="preserve"> ogni anno e si occupa della apertura al pubblico e valorizzazione di innumerevoli siti di valenza storica, culturale e naturalistica.</w:t>
      </w:r>
    </w:p>
    <w:p w:rsidR="001D3225" w:rsidRPr="00C726F9" w:rsidRDefault="00664CA7" w:rsidP="001D3225">
      <w:pPr>
        <w:pStyle w:val="NormaleWeb"/>
        <w:spacing w:before="0" w:after="120"/>
        <w:jc w:val="both"/>
        <w:rPr>
          <w:rFonts w:asciiTheme="minorHAnsi" w:hAnsiTheme="minorHAnsi" w:cs="Arial"/>
          <w:sz w:val="22"/>
          <w:szCs w:val="22"/>
        </w:rPr>
      </w:pPr>
      <w:r w:rsidRPr="00C726F9">
        <w:rPr>
          <w:rFonts w:asciiTheme="minorHAnsi" w:hAnsiTheme="minorHAnsi" w:cs="Arial"/>
          <w:sz w:val="22"/>
          <w:szCs w:val="22"/>
        </w:rPr>
        <w:t xml:space="preserve">Si stima che a </w:t>
      </w:r>
      <w:r w:rsidR="001D3225" w:rsidRPr="00C726F9">
        <w:rPr>
          <w:rFonts w:asciiTheme="minorHAnsi" w:hAnsiTheme="minorHAnsi" w:cs="Arial"/>
          <w:sz w:val="22"/>
          <w:szCs w:val="22"/>
        </w:rPr>
        <w:t xml:space="preserve">livello regionale </w:t>
      </w:r>
      <w:r w:rsidRPr="00C726F9">
        <w:rPr>
          <w:rFonts w:asciiTheme="minorHAnsi" w:hAnsiTheme="minorHAnsi" w:cs="Arial"/>
          <w:sz w:val="22"/>
          <w:szCs w:val="22"/>
        </w:rPr>
        <w:t>saranno circa</w:t>
      </w:r>
      <w:r w:rsidR="001D3225" w:rsidRPr="00C726F9">
        <w:rPr>
          <w:rFonts w:asciiTheme="minorHAnsi" w:hAnsiTheme="minorHAnsi" w:cs="Arial"/>
          <w:sz w:val="22"/>
          <w:szCs w:val="22"/>
        </w:rPr>
        <w:t xml:space="preserve"> </w:t>
      </w:r>
      <w:r w:rsidR="001D3225" w:rsidRPr="00C726F9">
        <w:rPr>
          <w:rFonts w:asciiTheme="minorHAnsi" w:hAnsiTheme="minorHAnsi" w:cs="Arial"/>
          <w:b/>
          <w:sz w:val="22"/>
          <w:szCs w:val="22"/>
        </w:rPr>
        <w:t>80.000</w:t>
      </w:r>
      <w:r w:rsidR="001D3225" w:rsidRPr="00C726F9">
        <w:rPr>
          <w:rFonts w:asciiTheme="minorHAnsi" w:hAnsiTheme="minorHAnsi" w:cs="Arial"/>
          <w:sz w:val="22"/>
          <w:szCs w:val="22"/>
        </w:rPr>
        <w:t xml:space="preserve"> </w:t>
      </w:r>
      <w:r w:rsidRPr="00C726F9">
        <w:rPr>
          <w:rFonts w:asciiTheme="minorHAnsi" w:hAnsiTheme="minorHAnsi" w:cs="Arial"/>
          <w:b/>
          <w:sz w:val="22"/>
          <w:szCs w:val="22"/>
        </w:rPr>
        <w:t>studenti</w:t>
      </w:r>
      <w:r w:rsidR="001D3225" w:rsidRPr="00C726F9">
        <w:rPr>
          <w:rFonts w:asciiTheme="minorHAnsi" w:hAnsiTheme="minorHAnsi" w:cs="Arial"/>
          <w:b/>
          <w:sz w:val="22"/>
          <w:szCs w:val="22"/>
        </w:rPr>
        <w:t xml:space="preserve"> </w:t>
      </w:r>
      <w:r w:rsidR="001D3225" w:rsidRPr="00C726F9">
        <w:rPr>
          <w:rFonts w:asciiTheme="minorHAnsi" w:hAnsiTheme="minorHAnsi" w:cs="Arial"/>
          <w:sz w:val="22"/>
          <w:szCs w:val="22"/>
        </w:rPr>
        <w:t xml:space="preserve">del triennio conclusivo delle </w:t>
      </w:r>
      <w:r w:rsidR="001D3225" w:rsidRPr="00C726F9">
        <w:rPr>
          <w:rFonts w:asciiTheme="minorHAnsi" w:hAnsiTheme="minorHAnsi" w:cs="Arial"/>
          <w:b/>
          <w:sz w:val="22"/>
          <w:szCs w:val="22"/>
        </w:rPr>
        <w:t>202 Istituzioni</w:t>
      </w:r>
      <w:r w:rsidR="001D3225" w:rsidRPr="00C726F9">
        <w:rPr>
          <w:rFonts w:asciiTheme="minorHAnsi" w:hAnsiTheme="minorHAnsi" w:cs="Arial"/>
          <w:sz w:val="22"/>
          <w:szCs w:val="22"/>
        </w:rPr>
        <w:t xml:space="preserve"> scolast</w:t>
      </w:r>
      <w:r w:rsidRPr="00C726F9">
        <w:rPr>
          <w:rFonts w:asciiTheme="minorHAnsi" w:hAnsiTheme="minorHAnsi" w:cs="Arial"/>
          <w:sz w:val="22"/>
          <w:szCs w:val="22"/>
        </w:rPr>
        <w:t xml:space="preserve">iche secondari di secondo grado che nell’anno scolastico corrente parteciperanno ad attività di alternanza scuola/lavoro (numero destinato ad arrivare a 120.000 nell’anno 2017/2018). </w:t>
      </w:r>
      <w:r w:rsidR="001D3225" w:rsidRPr="00C726F9">
        <w:rPr>
          <w:rFonts w:asciiTheme="minorHAnsi" w:hAnsiTheme="minorHAnsi" w:cs="Arial"/>
          <w:sz w:val="22"/>
          <w:szCs w:val="22"/>
        </w:rPr>
        <w:t xml:space="preserve">Con la legge 107/2015, detta della </w:t>
      </w:r>
      <w:r w:rsidR="001D3225" w:rsidRPr="00C726F9">
        <w:rPr>
          <w:rStyle w:val="Enfasigrassetto"/>
          <w:rFonts w:asciiTheme="minorHAnsi" w:hAnsiTheme="minorHAnsi" w:cs="Arial"/>
          <w:sz w:val="22"/>
          <w:szCs w:val="22"/>
        </w:rPr>
        <w:t>“Buona scuola”,</w:t>
      </w:r>
      <w:r w:rsidR="001D3225" w:rsidRPr="00C726F9">
        <w:rPr>
          <w:rFonts w:asciiTheme="minorHAnsi" w:hAnsiTheme="minorHAnsi" w:cs="Arial"/>
          <w:sz w:val="22"/>
          <w:szCs w:val="22"/>
        </w:rPr>
        <w:t xml:space="preserve"> l’alternanza scuola-lavoro diventa</w:t>
      </w:r>
      <w:r w:rsidR="001D3225" w:rsidRPr="00C726F9">
        <w:rPr>
          <w:rFonts w:asciiTheme="minorHAnsi" w:hAnsiTheme="minorHAnsi" w:cs="Arial"/>
          <w:b/>
          <w:sz w:val="22"/>
          <w:szCs w:val="22"/>
        </w:rPr>
        <w:t xml:space="preserve"> </w:t>
      </w:r>
      <w:r w:rsidR="001D3225" w:rsidRPr="00C726F9">
        <w:rPr>
          <w:rFonts w:asciiTheme="minorHAnsi" w:hAnsiTheme="minorHAnsi" w:cs="Arial"/>
          <w:sz w:val="22"/>
          <w:szCs w:val="22"/>
        </w:rPr>
        <w:t>un</w:t>
      </w:r>
      <w:r w:rsidR="001D3225" w:rsidRPr="00C726F9">
        <w:rPr>
          <w:rFonts w:asciiTheme="minorHAnsi" w:hAnsiTheme="minorHAnsi" w:cs="Arial"/>
          <w:b/>
          <w:sz w:val="22"/>
          <w:szCs w:val="22"/>
        </w:rPr>
        <w:t xml:space="preserve"> elemento strutturale dell’offerta formativa</w:t>
      </w:r>
      <w:r w:rsidR="001D3225" w:rsidRPr="00C726F9">
        <w:rPr>
          <w:rFonts w:asciiTheme="minorHAnsi" w:hAnsiTheme="minorHAnsi" w:cs="Arial"/>
          <w:sz w:val="22"/>
          <w:szCs w:val="22"/>
        </w:rPr>
        <w:t xml:space="preserve"> (della durata di 400 ore, per gli istituti tecnici e professionali, e 200 ore per i licei), durante </w:t>
      </w:r>
      <w:r w:rsidRPr="00C726F9">
        <w:rPr>
          <w:rFonts w:asciiTheme="minorHAnsi" w:hAnsiTheme="minorHAnsi" w:cs="Arial"/>
          <w:sz w:val="22"/>
          <w:szCs w:val="22"/>
        </w:rPr>
        <w:t>la quale</w:t>
      </w:r>
      <w:r w:rsidR="001D3225" w:rsidRPr="00C726F9">
        <w:rPr>
          <w:rFonts w:asciiTheme="minorHAnsi" w:hAnsiTheme="minorHAnsi" w:cs="Arial"/>
          <w:sz w:val="22"/>
          <w:szCs w:val="22"/>
        </w:rPr>
        <w:t xml:space="preserve"> sviluppare quelle capacità utili per costruire i propri percorsi di vita e lavoro. </w:t>
      </w:r>
    </w:p>
    <w:p w:rsidR="001D3225" w:rsidRPr="00C726F9" w:rsidRDefault="00664CA7" w:rsidP="001D3225">
      <w:pPr>
        <w:spacing w:after="120"/>
        <w:jc w:val="both"/>
        <w:rPr>
          <w:rFonts w:asciiTheme="minorHAnsi" w:hAnsiTheme="minorHAnsi" w:cs="Arial"/>
          <w:sz w:val="22"/>
          <w:szCs w:val="22"/>
        </w:rPr>
      </w:pPr>
      <w:r w:rsidRPr="00C726F9">
        <w:rPr>
          <w:rFonts w:asciiTheme="minorHAnsi" w:hAnsiTheme="minorHAnsi" w:cs="Arial"/>
          <w:b/>
          <w:sz w:val="22"/>
          <w:szCs w:val="22"/>
        </w:rPr>
        <w:t xml:space="preserve"> </w:t>
      </w:r>
      <w:r w:rsidR="001D3225" w:rsidRPr="00C726F9">
        <w:rPr>
          <w:rFonts w:asciiTheme="minorHAnsi" w:hAnsiTheme="minorHAnsi" w:cs="Arial"/>
          <w:b/>
          <w:sz w:val="22"/>
          <w:szCs w:val="22"/>
        </w:rPr>
        <w:t>“</w:t>
      </w:r>
      <w:r w:rsidR="001D3225" w:rsidRPr="00363292">
        <w:rPr>
          <w:rFonts w:asciiTheme="minorHAnsi" w:hAnsiTheme="minorHAnsi" w:cs="Arial"/>
          <w:i/>
          <w:sz w:val="22"/>
          <w:szCs w:val="22"/>
        </w:rPr>
        <w:t xml:space="preserve">Con il Protocollo d’Intesa siglato con </w:t>
      </w:r>
      <w:r w:rsidR="00D31D30" w:rsidRPr="00363292">
        <w:rPr>
          <w:rFonts w:asciiTheme="minorHAnsi" w:hAnsiTheme="minorHAnsi" w:cs="Arial"/>
          <w:i/>
          <w:sz w:val="22"/>
          <w:szCs w:val="22"/>
        </w:rPr>
        <w:t>Unpli Veneto</w:t>
      </w:r>
      <w:r w:rsidR="001D3225" w:rsidRPr="00C726F9">
        <w:rPr>
          <w:rFonts w:asciiTheme="minorHAnsi" w:hAnsiTheme="minorHAnsi" w:cs="Arial"/>
          <w:b/>
          <w:sz w:val="22"/>
          <w:szCs w:val="22"/>
        </w:rPr>
        <w:t xml:space="preserve"> </w:t>
      </w:r>
      <w:r w:rsidR="001D3225" w:rsidRPr="00C726F9">
        <w:rPr>
          <w:rFonts w:asciiTheme="minorHAnsi" w:hAnsiTheme="minorHAnsi" w:cs="Arial"/>
          <w:sz w:val="22"/>
          <w:szCs w:val="22"/>
        </w:rPr>
        <w:t>-</w:t>
      </w:r>
      <w:r w:rsidR="001D3225" w:rsidRPr="00C726F9">
        <w:rPr>
          <w:rFonts w:asciiTheme="minorHAnsi" w:hAnsiTheme="minorHAnsi" w:cs="Arial"/>
          <w:b/>
          <w:sz w:val="22"/>
          <w:szCs w:val="22"/>
        </w:rPr>
        <w:t xml:space="preserve"> afferma il Direttore Daniela Beltrame </w:t>
      </w:r>
      <w:r w:rsidR="001D3225" w:rsidRPr="00C726F9">
        <w:rPr>
          <w:rFonts w:asciiTheme="minorHAnsi" w:hAnsiTheme="minorHAnsi" w:cs="Arial"/>
          <w:sz w:val="22"/>
          <w:szCs w:val="22"/>
        </w:rPr>
        <w:t>-</w:t>
      </w:r>
      <w:r w:rsidR="001D3225" w:rsidRPr="00C726F9">
        <w:rPr>
          <w:rFonts w:asciiTheme="minorHAnsi" w:hAnsiTheme="minorHAnsi" w:cs="Arial"/>
          <w:b/>
          <w:sz w:val="22"/>
          <w:szCs w:val="22"/>
        </w:rPr>
        <w:t xml:space="preserve"> </w:t>
      </w:r>
      <w:r w:rsidR="001D3225" w:rsidRPr="00363292">
        <w:rPr>
          <w:rFonts w:asciiTheme="minorHAnsi" w:hAnsiTheme="minorHAnsi" w:cs="Arial"/>
          <w:i/>
          <w:sz w:val="22"/>
          <w:szCs w:val="22"/>
        </w:rPr>
        <w:t>l’Ufficio Scolastico Regionale intende offrire a tutte le scuole del Veneto un’offerta di Alternanza Scuola Lavoro nel Terzo Settore omogenea, utile alla crescita personale e professionale dei ragazzi, con una particolare attenzione</w:t>
      </w:r>
      <w:r w:rsidR="00D31D30" w:rsidRPr="00363292">
        <w:rPr>
          <w:rFonts w:asciiTheme="minorHAnsi" w:hAnsiTheme="minorHAnsi" w:cs="Arial"/>
          <w:i/>
          <w:sz w:val="22"/>
          <w:szCs w:val="22"/>
        </w:rPr>
        <w:t xml:space="preserve"> allo sviluppo delle competenze</w:t>
      </w:r>
      <w:r w:rsidR="001D3225" w:rsidRPr="00363292">
        <w:rPr>
          <w:rFonts w:asciiTheme="minorHAnsi" w:hAnsiTheme="minorHAnsi" w:cs="Arial"/>
          <w:i/>
          <w:sz w:val="22"/>
          <w:szCs w:val="22"/>
        </w:rPr>
        <w:t xml:space="preserve"> chiave per </w:t>
      </w:r>
      <w:r w:rsidRPr="00363292">
        <w:rPr>
          <w:rFonts w:asciiTheme="minorHAnsi" w:hAnsiTheme="minorHAnsi" w:cs="Arial"/>
          <w:i/>
          <w:sz w:val="22"/>
          <w:szCs w:val="22"/>
        </w:rPr>
        <w:t xml:space="preserve">l’educazione permanente in cui </w:t>
      </w:r>
      <w:r w:rsidR="001D3225" w:rsidRPr="00363292">
        <w:rPr>
          <w:rFonts w:asciiTheme="minorHAnsi" w:hAnsiTheme="minorHAnsi" w:cs="Arial"/>
          <w:i/>
          <w:sz w:val="22"/>
          <w:szCs w:val="22"/>
        </w:rPr>
        <w:t>tutte le discipline sono coinvolte. Va sottolineato che le competenze acquisite in alternanza sono riconosciute dai docenti ed entrano a pieno titolo sia nella valutazione disciplinare, sia nel voto di condotta</w:t>
      </w:r>
      <w:r w:rsidR="001D3225" w:rsidRPr="00C726F9">
        <w:rPr>
          <w:rFonts w:asciiTheme="minorHAnsi" w:hAnsiTheme="minorHAnsi" w:cs="Arial"/>
          <w:sz w:val="22"/>
          <w:szCs w:val="22"/>
        </w:rPr>
        <w:t>”.</w:t>
      </w:r>
    </w:p>
    <w:p w:rsidR="001D3225" w:rsidRPr="00C726F9" w:rsidRDefault="001D3225" w:rsidP="001D3225">
      <w:pPr>
        <w:spacing w:after="120"/>
        <w:jc w:val="both"/>
        <w:rPr>
          <w:rFonts w:asciiTheme="minorHAnsi" w:hAnsiTheme="minorHAnsi" w:cs="Arial"/>
          <w:sz w:val="22"/>
          <w:szCs w:val="22"/>
        </w:rPr>
      </w:pPr>
      <w:r w:rsidRPr="00C726F9">
        <w:rPr>
          <w:rFonts w:asciiTheme="minorHAnsi" w:hAnsiTheme="minorHAnsi" w:cs="Arial"/>
          <w:sz w:val="22"/>
          <w:szCs w:val="22"/>
        </w:rPr>
        <w:t>“</w:t>
      </w:r>
      <w:r w:rsidR="00FF0673" w:rsidRPr="00363292">
        <w:rPr>
          <w:rFonts w:asciiTheme="minorHAnsi" w:hAnsiTheme="minorHAnsi" w:cs="Arial"/>
          <w:i/>
          <w:sz w:val="22"/>
          <w:szCs w:val="22"/>
        </w:rPr>
        <w:t>Siamo certi che le nostre Pro Loco, organizzate in associazioni e Comitati</w:t>
      </w:r>
      <w:r w:rsidR="00472EE6" w:rsidRPr="00363292">
        <w:rPr>
          <w:rFonts w:asciiTheme="minorHAnsi" w:hAnsiTheme="minorHAnsi" w:cs="Arial"/>
          <w:i/>
          <w:sz w:val="22"/>
          <w:szCs w:val="22"/>
        </w:rPr>
        <w:t xml:space="preserve"> in maniera capillare sul territorio</w:t>
      </w:r>
      <w:r w:rsidR="00FF0673" w:rsidRPr="00363292">
        <w:rPr>
          <w:rFonts w:asciiTheme="minorHAnsi" w:hAnsiTheme="minorHAnsi" w:cs="Arial"/>
          <w:i/>
          <w:sz w:val="22"/>
          <w:szCs w:val="22"/>
        </w:rPr>
        <w:t>, possano rappresentare una ottima palestra formativa per tanti ragazzi, come hanno già d</w:t>
      </w:r>
      <w:r w:rsidR="00C726F9" w:rsidRPr="00363292">
        <w:rPr>
          <w:rFonts w:asciiTheme="minorHAnsi" w:hAnsiTheme="minorHAnsi" w:cs="Arial"/>
          <w:i/>
          <w:sz w:val="22"/>
          <w:szCs w:val="22"/>
        </w:rPr>
        <w:t>imostrato le positive esperienze</w:t>
      </w:r>
      <w:r w:rsidR="00FF0673" w:rsidRPr="00363292">
        <w:rPr>
          <w:rFonts w:asciiTheme="minorHAnsi" w:hAnsiTheme="minorHAnsi" w:cs="Arial"/>
          <w:i/>
          <w:sz w:val="22"/>
          <w:szCs w:val="22"/>
        </w:rPr>
        <w:t xml:space="preserve"> con i giovani maturate nell’ambito del Servizio Civile Nazionale</w:t>
      </w:r>
      <w:r w:rsidRPr="00C726F9">
        <w:rPr>
          <w:rFonts w:asciiTheme="minorHAnsi" w:hAnsiTheme="minorHAnsi" w:cs="Arial"/>
          <w:sz w:val="22"/>
          <w:szCs w:val="22"/>
        </w:rPr>
        <w:t xml:space="preserve">– aggiunge </w:t>
      </w:r>
      <w:r w:rsidR="00FF0673" w:rsidRPr="00C726F9">
        <w:rPr>
          <w:rFonts w:asciiTheme="minorHAnsi" w:hAnsiTheme="minorHAnsi" w:cs="Arial"/>
          <w:b/>
          <w:sz w:val="22"/>
          <w:szCs w:val="22"/>
        </w:rPr>
        <w:t xml:space="preserve">Giovanni </w:t>
      </w:r>
      <w:proofErr w:type="spellStart"/>
      <w:r w:rsidR="00FF0673" w:rsidRPr="00C726F9">
        <w:rPr>
          <w:rFonts w:asciiTheme="minorHAnsi" w:hAnsiTheme="minorHAnsi" w:cs="Arial"/>
          <w:b/>
          <w:sz w:val="22"/>
          <w:szCs w:val="22"/>
        </w:rPr>
        <w:t>Follador</w:t>
      </w:r>
      <w:proofErr w:type="spellEnd"/>
      <w:r w:rsidR="00FF0673" w:rsidRPr="00C726F9">
        <w:rPr>
          <w:rFonts w:asciiTheme="minorHAnsi" w:hAnsiTheme="minorHAnsi" w:cs="Arial"/>
          <w:b/>
          <w:sz w:val="22"/>
          <w:szCs w:val="22"/>
        </w:rPr>
        <w:t>, Presidente Unpli Veneto</w:t>
      </w:r>
      <w:r w:rsidRPr="00C726F9">
        <w:rPr>
          <w:rFonts w:asciiTheme="minorHAnsi" w:hAnsiTheme="minorHAnsi" w:cs="Arial"/>
          <w:sz w:val="22"/>
          <w:szCs w:val="22"/>
        </w:rPr>
        <w:t>–</w:t>
      </w:r>
      <w:r w:rsidR="00C726F9" w:rsidRPr="00C726F9">
        <w:rPr>
          <w:rFonts w:asciiTheme="minorHAnsi" w:hAnsiTheme="minorHAnsi" w:cs="Arial"/>
          <w:sz w:val="22"/>
          <w:szCs w:val="22"/>
        </w:rPr>
        <w:t xml:space="preserve"> </w:t>
      </w:r>
      <w:r w:rsidR="00C726F9" w:rsidRPr="00363292">
        <w:rPr>
          <w:rFonts w:asciiTheme="minorHAnsi" w:hAnsiTheme="minorHAnsi" w:cs="Arial"/>
          <w:i/>
          <w:sz w:val="22"/>
          <w:szCs w:val="22"/>
        </w:rPr>
        <w:t>auspichiamo quindi che il mondo della scuola sappia cogliere le innumerevoli opportunità che possono offrire le attività svolte da un volontariato che impiega personale altamente professionalizzato, nell’ambito del turismo, della cultura, dall’accoglienza, settori in grande espansione sul fronte occupazionale</w:t>
      </w:r>
      <w:r w:rsidRPr="00C726F9">
        <w:rPr>
          <w:rFonts w:asciiTheme="minorHAnsi" w:hAnsiTheme="minorHAnsi" w:cs="Arial"/>
          <w:sz w:val="22"/>
          <w:szCs w:val="22"/>
        </w:rPr>
        <w:t>”.</w:t>
      </w:r>
    </w:p>
    <w:p w:rsidR="00D31D30" w:rsidRPr="00C726F9" w:rsidRDefault="001D3225" w:rsidP="00C726F9">
      <w:pPr>
        <w:jc w:val="both"/>
        <w:rPr>
          <w:rFonts w:asciiTheme="minorHAnsi" w:hAnsiTheme="minorHAnsi" w:cs="Arial"/>
          <w:sz w:val="22"/>
          <w:szCs w:val="22"/>
        </w:rPr>
      </w:pPr>
      <w:r w:rsidRPr="00C726F9">
        <w:rPr>
          <w:rFonts w:asciiTheme="minorHAnsi" w:hAnsiTheme="minorHAnsi" w:cs="Arial"/>
          <w:sz w:val="22"/>
          <w:szCs w:val="22"/>
        </w:rPr>
        <w:t xml:space="preserve">A livello pratico, </w:t>
      </w:r>
      <w:r w:rsidR="00C726F9" w:rsidRPr="00C726F9">
        <w:rPr>
          <w:rFonts w:asciiTheme="minorHAnsi" w:hAnsiTheme="minorHAnsi" w:cs="Arial"/>
          <w:sz w:val="22"/>
          <w:szCs w:val="22"/>
        </w:rPr>
        <w:t>il</w:t>
      </w:r>
      <w:r w:rsidRPr="00C726F9">
        <w:rPr>
          <w:rFonts w:asciiTheme="minorHAnsi" w:hAnsiTheme="minorHAnsi" w:cs="Arial"/>
          <w:sz w:val="22"/>
          <w:szCs w:val="22"/>
        </w:rPr>
        <w:t xml:space="preserve"> Protocollo d’Intesa</w:t>
      </w:r>
      <w:r w:rsidR="00C726F9" w:rsidRPr="00C726F9">
        <w:rPr>
          <w:rFonts w:asciiTheme="minorHAnsi" w:hAnsiTheme="minorHAnsi" w:cs="Arial"/>
          <w:sz w:val="22"/>
          <w:szCs w:val="22"/>
        </w:rPr>
        <w:t xml:space="preserve"> ha individuato i seguenti ambiti di inserimento degli studenti: area </w:t>
      </w:r>
      <w:r w:rsidR="00C726F9" w:rsidRPr="00363292">
        <w:rPr>
          <w:rFonts w:asciiTheme="minorHAnsi" w:hAnsiTheme="minorHAnsi" w:cs="Arial"/>
          <w:b/>
          <w:sz w:val="22"/>
          <w:szCs w:val="22"/>
        </w:rPr>
        <w:t>progettazione</w:t>
      </w:r>
      <w:r w:rsidR="00C726F9" w:rsidRPr="00C726F9">
        <w:rPr>
          <w:rFonts w:asciiTheme="minorHAnsi" w:hAnsiTheme="minorHAnsi" w:cs="Arial"/>
          <w:sz w:val="22"/>
          <w:szCs w:val="22"/>
        </w:rPr>
        <w:t xml:space="preserve"> (realizzazione di progetti, gestione e monitoraggio), area </w:t>
      </w:r>
      <w:r w:rsidR="00C726F9" w:rsidRPr="00363292">
        <w:rPr>
          <w:rFonts w:asciiTheme="minorHAnsi" w:hAnsiTheme="minorHAnsi" w:cs="Arial"/>
          <w:b/>
          <w:sz w:val="22"/>
          <w:szCs w:val="22"/>
        </w:rPr>
        <w:t>turistica e linguistica</w:t>
      </w:r>
      <w:r w:rsidR="00C726F9" w:rsidRPr="00C726F9">
        <w:rPr>
          <w:rFonts w:asciiTheme="minorHAnsi" w:hAnsiTheme="minorHAnsi" w:cs="Arial"/>
          <w:sz w:val="22"/>
          <w:szCs w:val="22"/>
        </w:rPr>
        <w:t xml:space="preserve"> (accoglienza e orientamento di turisti e visitatori presso </w:t>
      </w:r>
      <w:proofErr w:type="spellStart"/>
      <w:r w:rsidR="00C726F9" w:rsidRPr="00C726F9">
        <w:rPr>
          <w:rFonts w:asciiTheme="minorHAnsi" w:hAnsiTheme="minorHAnsi" w:cs="Arial"/>
          <w:sz w:val="22"/>
          <w:szCs w:val="22"/>
        </w:rPr>
        <w:t>Iat</w:t>
      </w:r>
      <w:proofErr w:type="spellEnd"/>
      <w:r w:rsidR="00C726F9" w:rsidRPr="00C726F9">
        <w:rPr>
          <w:rFonts w:asciiTheme="minorHAnsi" w:hAnsiTheme="minorHAnsi" w:cs="Arial"/>
          <w:sz w:val="22"/>
          <w:szCs w:val="22"/>
        </w:rPr>
        <w:t xml:space="preserve"> e info </w:t>
      </w:r>
      <w:proofErr w:type="spellStart"/>
      <w:r w:rsidR="00C726F9" w:rsidRPr="00C726F9">
        <w:rPr>
          <w:rFonts w:asciiTheme="minorHAnsi" w:hAnsiTheme="minorHAnsi" w:cs="Arial"/>
          <w:sz w:val="22"/>
          <w:szCs w:val="22"/>
        </w:rPr>
        <w:t>point</w:t>
      </w:r>
      <w:proofErr w:type="spellEnd"/>
      <w:r w:rsidR="00C726F9" w:rsidRPr="00C726F9">
        <w:rPr>
          <w:rFonts w:asciiTheme="minorHAnsi" w:hAnsiTheme="minorHAnsi" w:cs="Arial"/>
          <w:sz w:val="22"/>
          <w:szCs w:val="22"/>
        </w:rPr>
        <w:t>)</w:t>
      </w:r>
      <w:r w:rsidR="00C726F9" w:rsidRPr="00C726F9">
        <w:rPr>
          <w:rFonts w:asciiTheme="minorHAnsi" w:hAnsiTheme="minorHAnsi"/>
          <w:sz w:val="22"/>
          <w:szCs w:val="22"/>
        </w:rPr>
        <w:t xml:space="preserve">, area </w:t>
      </w:r>
      <w:r w:rsidR="00C726F9" w:rsidRPr="00363292">
        <w:rPr>
          <w:rFonts w:asciiTheme="minorHAnsi" w:hAnsiTheme="minorHAnsi"/>
          <w:b/>
          <w:sz w:val="22"/>
          <w:szCs w:val="22"/>
        </w:rPr>
        <w:t>culturale</w:t>
      </w:r>
      <w:r w:rsidR="00C726F9" w:rsidRPr="00C726F9">
        <w:rPr>
          <w:rFonts w:asciiTheme="minorHAnsi" w:hAnsiTheme="minorHAnsi"/>
          <w:sz w:val="22"/>
          <w:szCs w:val="22"/>
        </w:rPr>
        <w:t xml:space="preserve"> (dai lavori di archivio all’affiancamento del personale Pro Loco nell’apertura di </w:t>
      </w:r>
      <w:r w:rsidR="00363292">
        <w:rPr>
          <w:rFonts w:asciiTheme="minorHAnsi" w:hAnsiTheme="minorHAnsi"/>
          <w:sz w:val="22"/>
          <w:szCs w:val="22"/>
        </w:rPr>
        <w:t xml:space="preserve">musei/monumenti/ville </w:t>
      </w:r>
      <w:r w:rsidR="00D31D30" w:rsidRPr="00C726F9">
        <w:rPr>
          <w:rFonts w:asciiTheme="minorHAnsi" w:hAnsiTheme="minorHAnsi"/>
          <w:sz w:val="22"/>
          <w:szCs w:val="22"/>
        </w:rPr>
        <w:t>venete</w:t>
      </w:r>
      <w:r w:rsidR="00363292">
        <w:rPr>
          <w:rFonts w:asciiTheme="minorHAnsi" w:hAnsiTheme="minorHAnsi"/>
          <w:sz w:val="22"/>
          <w:szCs w:val="22"/>
        </w:rPr>
        <w:t xml:space="preserve"> </w:t>
      </w:r>
      <w:r w:rsidR="00D31D30" w:rsidRPr="00C726F9">
        <w:rPr>
          <w:rFonts w:asciiTheme="minorHAnsi" w:hAnsiTheme="minorHAnsi"/>
          <w:sz w:val="22"/>
          <w:szCs w:val="22"/>
        </w:rPr>
        <w:t xml:space="preserve">/aree naturalistiche </w:t>
      </w:r>
      <w:r w:rsidR="00C726F9" w:rsidRPr="00C726F9">
        <w:rPr>
          <w:rFonts w:asciiTheme="minorHAnsi" w:hAnsiTheme="minorHAnsi"/>
          <w:sz w:val="22"/>
          <w:szCs w:val="22"/>
        </w:rPr>
        <w:t xml:space="preserve">in gestione) area </w:t>
      </w:r>
      <w:r w:rsidR="00C726F9" w:rsidRPr="00363292">
        <w:rPr>
          <w:rFonts w:asciiTheme="minorHAnsi" w:hAnsiTheme="minorHAnsi"/>
          <w:b/>
          <w:sz w:val="22"/>
          <w:szCs w:val="22"/>
        </w:rPr>
        <w:t>comunicazione</w:t>
      </w:r>
      <w:r w:rsidR="00C726F9" w:rsidRPr="00C726F9">
        <w:rPr>
          <w:rFonts w:asciiTheme="minorHAnsi" w:hAnsiTheme="minorHAnsi"/>
          <w:sz w:val="22"/>
          <w:szCs w:val="22"/>
        </w:rPr>
        <w:t xml:space="preserve"> (con particolare attenzione rivolta al social media marketing per le attività Pro Loco), valorizzazione delle </w:t>
      </w:r>
      <w:r w:rsidR="00C726F9" w:rsidRPr="00363292">
        <w:rPr>
          <w:rFonts w:asciiTheme="minorHAnsi" w:hAnsiTheme="minorHAnsi"/>
          <w:b/>
          <w:sz w:val="22"/>
          <w:szCs w:val="22"/>
        </w:rPr>
        <w:t>tipicità locali</w:t>
      </w:r>
      <w:r w:rsidR="00C726F9" w:rsidRPr="00C726F9">
        <w:rPr>
          <w:rFonts w:asciiTheme="minorHAnsi" w:hAnsiTheme="minorHAnsi"/>
          <w:sz w:val="22"/>
          <w:szCs w:val="22"/>
        </w:rPr>
        <w:t xml:space="preserve"> (con una attenzione particolare all’enogastronomia che potrà coinvolgere in particolare gli istituti alberghieri), infine area </w:t>
      </w:r>
      <w:r w:rsidR="00C726F9" w:rsidRPr="00363292">
        <w:rPr>
          <w:rFonts w:asciiTheme="minorHAnsi" w:hAnsiTheme="minorHAnsi"/>
          <w:b/>
          <w:sz w:val="22"/>
          <w:szCs w:val="22"/>
        </w:rPr>
        <w:t xml:space="preserve">amministrativa </w:t>
      </w:r>
      <w:r w:rsidR="00C726F9" w:rsidRPr="00C726F9">
        <w:rPr>
          <w:rFonts w:asciiTheme="minorHAnsi" w:hAnsiTheme="minorHAnsi"/>
          <w:sz w:val="22"/>
          <w:szCs w:val="22"/>
        </w:rPr>
        <w:t>(affiancando le Pro Loco nell’elaborazione delle attività di contabilità e del bilancio.</w:t>
      </w:r>
      <w:r w:rsidR="00C726F9" w:rsidRPr="00C726F9">
        <w:rPr>
          <w:rFonts w:asciiTheme="minorHAnsi" w:hAnsiTheme="minorHAnsi" w:cs="Arial"/>
          <w:sz w:val="22"/>
          <w:szCs w:val="22"/>
        </w:rPr>
        <w:t xml:space="preserve"> </w:t>
      </w:r>
      <w:bookmarkStart w:id="0" w:name="_GoBack"/>
      <w:bookmarkEnd w:id="0"/>
    </w:p>
    <w:sectPr w:rsidR="00D31D30" w:rsidRPr="00C726F9" w:rsidSect="005E591D">
      <w:headerReference w:type="default" r:id="rId7"/>
      <w:footerReference w:type="default" r:id="rId8"/>
      <w:pgSz w:w="11906" w:h="16838"/>
      <w:pgMar w:top="1674" w:right="1134" w:bottom="1701" w:left="1134" w:header="709" w:footer="591"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CE" w:rsidRDefault="00AD75CE">
      <w:r>
        <w:separator/>
      </w:r>
    </w:p>
  </w:endnote>
  <w:endnote w:type="continuationSeparator" w:id="0">
    <w:p w:rsidR="00AD75CE" w:rsidRDefault="00AD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FD" w:rsidRDefault="001D3225" w:rsidP="005E591D">
    <w:pPr>
      <w:pStyle w:val="Pidipagina"/>
    </w:pPr>
    <w:r>
      <w:rPr>
        <w:noProof/>
        <w:lang w:eastAsia="it-IT"/>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-160655</wp:posOffset>
              </wp:positionV>
              <wp:extent cx="6172200" cy="0"/>
              <wp:effectExtent l="9525" t="10795" r="9525" b="825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600" cap="sq">
                        <a:solidFill>
                          <a:srgbClr val="99CC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4FC432" id="Connettore 1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pt" to="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" strokecolor="#9c0" strokeweight=".35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CE" w:rsidRDefault="00AD75CE">
      <w:r>
        <w:separator/>
      </w:r>
    </w:p>
  </w:footnote>
  <w:footnote w:type="continuationSeparator" w:id="0">
    <w:p w:rsidR="00AD75CE" w:rsidRDefault="00AD7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6F9" w:rsidRDefault="00C726F9">
    <w:pPr>
      <w:pStyle w:val="Intestazione"/>
    </w:pPr>
    <w:r>
      <w:rPr>
        <w:rFonts w:ascii="Calibri" w:hAnsi="Calibri"/>
        <w:noProof/>
        <w:color w:val="000000"/>
      </w:rPr>
      <w:drawing>
        <wp:anchor distT="0" distB="0" distL="114300" distR="114300" simplePos="0" relativeHeight="251660288" behindDoc="0" locked="0" layoutInCell="1" allowOverlap="1">
          <wp:simplePos x="0" y="0"/>
          <wp:positionH relativeFrom="margin">
            <wp:posOffset>5005705</wp:posOffset>
          </wp:positionH>
          <wp:positionV relativeFrom="margin">
            <wp:posOffset>-1066800</wp:posOffset>
          </wp:positionV>
          <wp:extent cx="809625" cy="1057275"/>
          <wp:effectExtent l="0" t="0" r="9525" b="9525"/>
          <wp:wrapSquare wrapText="bothSides"/>
          <wp:docPr id="3" name="Immagine 3" descr="unpli veneto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li veneto 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1057275"/>
                  </a:xfrm>
                  <a:prstGeom prst="rect">
                    <a:avLst/>
                  </a:prstGeom>
                  <a:noFill/>
                  <a:ln>
                    <a:noFill/>
                  </a:ln>
                </pic:spPr>
              </pic:pic>
            </a:graphicData>
          </a:graphic>
        </wp:anchor>
      </w:drawing>
    </w:r>
    <w:r>
      <w:rPr>
        <w:noProof/>
        <w:sz w:val="24"/>
      </w:rPr>
      <w:drawing>
        <wp:inline distT="0" distB="0" distL="0" distR="0" wp14:anchorId="34E55ACD" wp14:editId="5DD927EA">
          <wp:extent cx="892458" cy="9429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RVjpgpicc2.jpg"/>
                  <pic:cNvPicPr/>
                </pic:nvPicPr>
                <pic:blipFill>
                  <a:blip r:embed="rId3">
                    <a:extLst>
                      <a:ext uri="{28A0092B-C50C-407E-A947-70E740481C1C}">
                        <a14:useLocalDpi xmlns:a14="http://schemas.microsoft.com/office/drawing/2010/main" val="0"/>
                      </a:ext>
                    </a:extLst>
                  </a:blip>
                  <a:stretch>
                    <a:fillRect/>
                  </a:stretch>
                </pic:blipFill>
                <pic:spPr>
                  <a:xfrm>
                    <a:off x="0" y="0"/>
                    <a:ext cx="892458" cy="9429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FC86CAE"/>
    <w:multiLevelType w:val="hybridMultilevel"/>
    <w:tmpl w:val="39804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25"/>
    <w:rsid w:val="001D3225"/>
    <w:rsid w:val="00363292"/>
    <w:rsid w:val="00472EE6"/>
    <w:rsid w:val="005D09EE"/>
    <w:rsid w:val="00664CA7"/>
    <w:rsid w:val="00774FA0"/>
    <w:rsid w:val="00AD75CE"/>
    <w:rsid w:val="00BE76E7"/>
    <w:rsid w:val="00C726F9"/>
    <w:rsid w:val="00D31D30"/>
    <w:rsid w:val="00FF0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1B072-7CBD-4DE8-AB78-709DDE68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3225"/>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Corpotesto"/>
    <w:link w:val="Titolo1Carattere"/>
    <w:qFormat/>
    <w:rsid w:val="001D3225"/>
    <w:pPr>
      <w:numPr>
        <w:numId w:val="1"/>
      </w:numPr>
      <w:spacing w:before="280" w:after="280"/>
      <w:outlineLvl w:val="0"/>
    </w:pPr>
    <w:rPr>
      <w:b/>
      <w:bCs/>
      <w:kern w:val="1"/>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225"/>
    <w:rPr>
      <w:rFonts w:ascii="Times New Roman" w:eastAsia="Times New Roman" w:hAnsi="Times New Roman" w:cs="Times New Roman"/>
      <w:b/>
      <w:bCs/>
      <w:kern w:val="1"/>
      <w:sz w:val="48"/>
      <w:szCs w:val="48"/>
      <w:lang w:eastAsia="ar-SA"/>
    </w:rPr>
  </w:style>
  <w:style w:type="character" w:styleId="Enfasigrassetto">
    <w:name w:val="Strong"/>
    <w:qFormat/>
    <w:rsid w:val="001D3225"/>
    <w:rPr>
      <w:b/>
      <w:bCs/>
    </w:rPr>
  </w:style>
  <w:style w:type="paragraph" w:styleId="Pidipagina">
    <w:name w:val="footer"/>
    <w:basedOn w:val="Normale"/>
    <w:link w:val="PidipaginaCarattere"/>
    <w:rsid w:val="001D3225"/>
    <w:pPr>
      <w:tabs>
        <w:tab w:val="center" w:pos="4819"/>
        <w:tab w:val="right" w:pos="9638"/>
      </w:tabs>
    </w:pPr>
  </w:style>
  <w:style w:type="character" w:customStyle="1" w:styleId="PidipaginaCarattere">
    <w:name w:val="Piè di pagina Carattere"/>
    <w:basedOn w:val="Carpredefinitoparagrafo"/>
    <w:link w:val="Pidipagina"/>
    <w:rsid w:val="001D3225"/>
    <w:rPr>
      <w:rFonts w:ascii="Times New Roman" w:eastAsia="Times New Roman" w:hAnsi="Times New Roman" w:cs="Times New Roman"/>
      <w:sz w:val="20"/>
      <w:szCs w:val="20"/>
      <w:lang w:eastAsia="ar-SA"/>
    </w:rPr>
  </w:style>
  <w:style w:type="paragraph" w:styleId="NormaleWeb">
    <w:name w:val="Normal (Web)"/>
    <w:basedOn w:val="Normale"/>
    <w:rsid w:val="001D3225"/>
    <w:pPr>
      <w:spacing w:before="280" w:after="280"/>
    </w:pPr>
    <w:rPr>
      <w:sz w:val="24"/>
      <w:szCs w:val="24"/>
    </w:rPr>
  </w:style>
  <w:style w:type="paragraph" w:styleId="Corpotesto">
    <w:name w:val="Body Text"/>
    <w:basedOn w:val="Normale"/>
    <w:link w:val="CorpotestoCarattere"/>
    <w:uiPriority w:val="99"/>
    <w:semiHidden/>
    <w:unhideWhenUsed/>
    <w:rsid w:val="001D3225"/>
    <w:pPr>
      <w:spacing w:after="120"/>
    </w:pPr>
  </w:style>
  <w:style w:type="character" w:customStyle="1" w:styleId="CorpotestoCarattere">
    <w:name w:val="Corpo testo Carattere"/>
    <w:basedOn w:val="Carpredefinitoparagrafo"/>
    <w:link w:val="Corpotesto"/>
    <w:uiPriority w:val="99"/>
    <w:semiHidden/>
    <w:rsid w:val="001D3225"/>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5D09E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09EE"/>
    <w:rPr>
      <w:rFonts w:ascii="Segoe UI" w:eastAsia="Times New Roman" w:hAnsi="Segoe UI" w:cs="Segoe UI"/>
      <w:sz w:val="18"/>
      <w:szCs w:val="18"/>
      <w:lang w:eastAsia="ar-SA"/>
    </w:rPr>
  </w:style>
  <w:style w:type="paragraph" w:styleId="Paragrafoelenco">
    <w:name w:val="List Paragraph"/>
    <w:basedOn w:val="Normale"/>
    <w:uiPriority w:val="34"/>
    <w:qFormat/>
    <w:rsid w:val="005D09EE"/>
    <w:pPr>
      <w:suppressAutoHyphens w:val="0"/>
      <w:spacing w:after="200" w:line="276" w:lineRule="auto"/>
      <w:ind w:left="720"/>
      <w:contextualSpacing/>
    </w:pPr>
    <w:rPr>
      <w:rFonts w:asciiTheme="minorHAnsi" w:eastAsiaTheme="minorEastAsia" w:hAnsiTheme="minorHAnsi" w:cstheme="minorBidi"/>
      <w:sz w:val="22"/>
      <w:szCs w:val="22"/>
      <w:lang w:eastAsia="it-IT"/>
    </w:rPr>
  </w:style>
  <w:style w:type="paragraph" w:styleId="Intestazione">
    <w:name w:val="header"/>
    <w:basedOn w:val="Normale"/>
    <w:link w:val="IntestazioneCarattere"/>
    <w:uiPriority w:val="99"/>
    <w:unhideWhenUsed/>
    <w:rsid w:val="00C726F9"/>
    <w:pPr>
      <w:tabs>
        <w:tab w:val="center" w:pos="4819"/>
        <w:tab w:val="right" w:pos="9638"/>
      </w:tabs>
    </w:pPr>
  </w:style>
  <w:style w:type="character" w:customStyle="1" w:styleId="IntestazioneCarattere">
    <w:name w:val="Intestazione Carattere"/>
    <w:basedOn w:val="Carpredefinitoparagrafo"/>
    <w:link w:val="Intestazione"/>
    <w:uiPriority w:val="99"/>
    <w:rsid w:val="00C726F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22AC5.1702343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3291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zeta group</cp:lastModifiedBy>
  <cp:revision>2</cp:revision>
  <cp:lastPrinted>2016-12-19T09:04:00Z</cp:lastPrinted>
  <dcterms:created xsi:type="dcterms:W3CDTF">2016-12-19T13:45:00Z</dcterms:created>
  <dcterms:modified xsi:type="dcterms:W3CDTF">2016-12-19T13:45:00Z</dcterms:modified>
</cp:coreProperties>
</file>